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04211">
      <w:pPr>
        <w:keepNext w:val="0"/>
        <w:keepLines w:val="0"/>
        <w:pageBreakBefore w:val="0"/>
        <w:widowControl w:val="0"/>
        <w:kinsoku/>
        <w:wordWrap/>
        <w:overflowPunct/>
        <w:topLinePunct w:val="0"/>
        <w:autoSpaceDE/>
        <w:autoSpaceDN/>
        <w:bidi w:val="0"/>
        <w:spacing w:line="560" w:lineRule="exact"/>
        <w:jc w:val="both"/>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附件1  定向择优项目</w:t>
      </w:r>
      <w:bookmarkStart w:id="0" w:name="_GoBack"/>
      <w:bookmarkEnd w:id="0"/>
      <w:r>
        <w:rPr>
          <w:rFonts w:hint="eastAsia" w:ascii="黑体" w:hAnsi="黑体" w:eastAsia="黑体" w:cs="黑体"/>
          <w:sz w:val="24"/>
          <w:szCs w:val="24"/>
          <w:lang w:val="en-US" w:eastAsia="zh-CN"/>
        </w:rPr>
        <w:t>指南</w:t>
      </w:r>
    </w:p>
    <w:p w14:paraId="64E4DFD1">
      <w:pPr>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4"/>
          <w:szCs w:val="24"/>
          <w:lang w:val="en-US" w:eastAsia="zh-CN"/>
        </w:rPr>
        <w:t>1.新医学科研基金“基础+临床”专项指南建议</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7598"/>
      </w:tblGrid>
      <w:tr w14:paraId="3B38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5DC2BC6F">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序号</w:t>
            </w:r>
          </w:p>
        </w:tc>
        <w:tc>
          <w:tcPr>
            <w:tcW w:w="7598" w:type="dxa"/>
          </w:tcPr>
          <w:p w14:paraId="4B403B0A">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指南建议名称</w:t>
            </w:r>
          </w:p>
        </w:tc>
      </w:tr>
      <w:tr w14:paraId="3597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24" w:type="dxa"/>
          </w:tcPr>
          <w:p w14:paraId="1FD636D6">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7598" w:type="dxa"/>
            <w:vAlign w:val="center"/>
          </w:tcPr>
          <w:p w14:paraId="16154F27">
            <w:pPr>
              <w:keepNext w:val="0"/>
              <w:keepLines w:val="0"/>
              <w:widowControl/>
              <w:suppressLineNumbers w:val="0"/>
              <w:jc w:val="both"/>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人脐带间充质干细胞改善KBG综合征生长发育障碍的研究</w:t>
            </w:r>
          </w:p>
        </w:tc>
      </w:tr>
      <w:tr w14:paraId="0B2F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6DA9BDA3">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w:t>
            </w:r>
          </w:p>
        </w:tc>
        <w:tc>
          <w:tcPr>
            <w:tcW w:w="7598" w:type="dxa"/>
            <w:vAlign w:val="center"/>
          </w:tcPr>
          <w:p w14:paraId="17FF5DA6">
            <w:pPr>
              <w:keepNext w:val="0"/>
              <w:keepLines w:val="0"/>
              <w:widowControl/>
              <w:suppressLineNumbers w:val="0"/>
              <w:jc w:val="both"/>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系统性红斑狼疮发病机制与精准防治策略探索</w:t>
            </w:r>
          </w:p>
        </w:tc>
      </w:tr>
      <w:tr w14:paraId="3C97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117B581F">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w:t>
            </w:r>
          </w:p>
        </w:tc>
        <w:tc>
          <w:tcPr>
            <w:tcW w:w="7598" w:type="dxa"/>
            <w:shd w:val="clear" w:color="auto" w:fill="auto"/>
            <w:vAlign w:val="center"/>
          </w:tcPr>
          <w:p w14:paraId="7AB69C43">
            <w:pPr>
              <w:keepNext w:val="0"/>
              <w:keepLines w:val="0"/>
              <w:widowControl/>
              <w:suppressLineNumbers w:val="0"/>
              <w:jc w:val="both"/>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DOCK4低表达促进脑胶质瘤病理进程的研究</w:t>
            </w:r>
          </w:p>
        </w:tc>
      </w:tr>
      <w:tr w14:paraId="6337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54F7897E">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w:t>
            </w:r>
          </w:p>
        </w:tc>
        <w:tc>
          <w:tcPr>
            <w:tcW w:w="7598" w:type="dxa"/>
            <w:vAlign w:val="center"/>
          </w:tcPr>
          <w:p w14:paraId="1E2758E1">
            <w:pPr>
              <w:keepNext w:val="0"/>
              <w:keepLines w:val="0"/>
              <w:widowControl/>
              <w:suppressLineNumbers w:val="0"/>
              <w:jc w:val="both"/>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肝脏疾病指标体系的构建及分子机制</w:t>
            </w:r>
          </w:p>
        </w:tc>
      </w:tr>
      <w:tr w14:paraId="445B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2786CC82">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5</w:t>
            </w:r>
          </w:p>
        </w:tc>
        <w:tc>
          <w:tcPr>
            <w:tcW w:w="7598" w:type="dxa"/>
            <w:vAlign w:val="center"/>
          </w:tcPr>
          <w:p w14:paraId="17B4571B">
            <w:pPr>
              <w:keepNext w:val="0"/>
              <w:keepLines w:val="0"/>
              <w:widowControl/>
              <w:suppressLineNumbers w:val="0"/>
              <w:jc w:val="both"/>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乳腺癌器官特异性转移与精准靶向干预体系研究</w:t>
            </w:r>
          </w:p>
        </w:tc>
      </w:tr>
      <w:tr w14:paraId="564B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0B9FA7E5">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6</w:t>
            </w:r>
          </w:p>
        </w:tc>
        <w:tc>
          <w:tcPr>
            <w:tcW w:w="7598" w:type="dxa"/>
            <w:vAlign w:val="center"/>
          </w:tcPr>
          <w:p w14:paraId="051D64A0">
            <w:pPr>
              <w:keepNext w:val="0"/>
              <w:keepLines w:val="0"/>
              <w:widowControl/>
              <w:suppressLineNumbers w:val="0"/>
              <w:jc w:val="both"/>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DUSP家族基因异常及MAPK通路失调导致不孕不育的临床验证与分子机制研究</w:t>
            </w:r>
          </w:p>
        </w:tc>
      </w:tr>
      <w:tr w14:paraId="2E89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438F395D">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7</w:t>
            </w:r>
          </w:p>
        </w:tc>
        <w:tc>
          <w:tcPr>
            <w:tcW w:w="7598" w:type="dxa"/>
            <w:vAlign w:val="center"/>
          </w:tcPr>
          <w:p w14:paraId="26E1E492">
            <w:pPr>
              <w:keepNext w:val="0"/>
              <w:keepLines w:val="0"/>
              <w:widowControl/>
              <w:suppressLineNumbers w:val="0"/>
              <w:jc w:val="both"/>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胰腺癌肿瘤微环境中糖胺聚糖硫酸化修饰的早期诊断标志物筛选及分子机制研究</w:t>
            </w:r>
          </w:p>
        </w:tc>
      </w:tr>
      <w:tr w14:paraId="1C55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79B3A80A">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8</w:t>
            </w:r>
          </w:p>
        </w:tc>
        <w:tc>
          <w:tcPr>
            <w:tcW w:w="7598" w:type="dxa"/>
            <w:vAlign w:val="center"/>
          </w:tcPr>
          <w:p w14:paraId="37D13796">
            <w:pPr>
              <w:keepNext w:val="0"/>
              <w:keepLines w:val="0"/>
              <w:widowControl/>
              <w:suppressLineNumbers w:val="0"/>
              <w:jc w:val="both"/>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子痫前期的基因组印记分子标记：从机制解析到临床诊断模型构建</w:t>
            </w:r>
          </w:p>
        </w:tc>
      </w:tr>
      <w:tr w14:paraId="60A7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0CCC95B7">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9</w:t>
            </w:r>
          </w:p>
        </w:tc>
        <w:tc>
          <w:tcPr>
            <w:tcW w:w="7598" w:type="dxa"/>
            <w:vAlign w:val="center"/>
          </w:tcPr>
          <w:p w14:paraId="34E468D4">
            <w:pPr>
              <w:keepNext w:val="0"/>
              <w:keepLines w:val="0"/>
              <w:widowControl/>
              <w:suppressLineNumbers w:val="0"/>
              <w:jc w:val="both"/>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不孕不育关键致病基因筛查及分子调控机制</w:t>
            </w:r>
          </w:p>
        </w:tc>
      </w:tr>
      <w:tr w14:paraId="0A01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51973502">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10</w:t>
            </w:r>
          </w:p>
        </w:tc>
        <w:tc>
          <w:tcPr>
            <w:tcW w:w="7598" w:type="dxa"/>
            <w:vAlign w:val="center"/>
          </w:tcPr>
          <w:p w14:paraId="486050C4">
            <w:pPr>
              <w:keepNext w:val="0"/>
              <w:keepLines w:val="0"/>
              <w:widowControl/>
              <w:suppressLineNumbers w:val="0"/>
              <w:jc w:val="both"/>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致病性大肠杆菌引起的肾脏损伤预测指标体系的构建及分子机制</w:t>
            </w:r>
          </w:p>
        </w:tc>
      </w:tr>
      <w:tr w14:paraId="3ADB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74306EDD">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11</w:t>
            </w:r>
          </w:p>
        </w:tc>
        <w:tc>
          <w:tcPr>
            <w:tcW w:w="7598" w:type="dxa"/>
            <w:vAlign w:val="center"/>
          </w:tcPr>
          <w:p w14:paraId="1A33C4BC">
            <w:pPr>
              <w:keepNext w:val="0"/>
              <w:keepLines w:val="0"/>
              <w:widowControl/>
              <w:suppressLineNumbers w:val="0"/>
              <w:jc w:val="both"/>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vIL-10重塑肿瘤微环境促肿瘤发展作用机制研究</w:t>
            </w:r>
          </w:p>
        </w:tc>
      </w:tr>
      <w:tr w14:paraId="44A4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2815DC61">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12</w:t>
            </w:r>
          </w:p>
        </w:tc>
        <w:tc>
          <w:tcPr>
            <w:tcW w:w="7598" w:type="dxa"/>
            <w:vAlign w:val="center"/>
          </w:tcPr>
          <w:p w14:paraId="51315061">
            <w:pPr>
              <w:keepNext w:val="0"/>
              <w:keepLines w:val="0"/>
              <w:widowControl/>
              <w:suppressLineNumbers w:val="0"/>
              <w:jc w:val="both"/>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苯并噁唑类小分子通过靶向HMGCS1调控脂代谢重编程抑制结肠癌进程的机制研究</w:t>
            </w:r>
          </w:p>
        </w:tc>
      </w:tr>
      <w:tr w14:paraId="5A27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1465DE93">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13</w:t>
            </w:r>
          </w:p>
        </w:tc>
        <w:tc>
          <w:tcPr>
            <w:tcW w:w="7598" w:type="dxa"/>
            <w:vAlign w:val="center"/>
          </w:tcPr>
          <w:p w14:paraId="71C27A30">
            <w:pPr>
              <w:keepNext w:val="0"/>
              <w:keepLines w:val="0"/>
              <w:widowControl/>
              <w:suppressLineNumbers w:val="0"/>
              <w:jc w:val="both"/>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基于天然小分子Vps34抑制剂的冷肿瘤转化及免疫治疗增效研究</w:t>
            </w:r>
          </w:p>
        </w:tc>
      </w:tr>
      <w:tr w14:paraId="1D97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249C8E7E">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14</w:t>
            </w:r>
          </w:p>
        </w:tc>
        <w:tc>
          <w:tcPr>
            <w:tcW w:w="7598" w:type="dxa"/>
            <w:vAlign w:val="center"/>
          </w:tcPr>
          <w:p w14:paraId="4A60E005">
            <w:pPr>
              <w:keepNext w:val="0"/>
              <w:keepLines w:val="0"/>
              <w:widowControl/>
              <w:suppressLineNumbers w:val="0"/>
              <w:jc w:val="both"/>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感音神经性耳聋精准干预的分子机制与预测体系研究</w:t>
            </w:r>
          </w:p>
        </w:tc>
      </w:tr>
      <w:tr w14:paraId="5D40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2AE4F9A3">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15</w:t>
            </w:r>
          </w:p>
        </w:tc>
        <w:tc>
          <w:tcPr>
            <w:tcW w:w="7598" w:type="dxa"/>
            <w:vAlign w:val="center"/>
          </w:tcPr>
          <w:p w14:paraId="029E4C8A">
            <w:pPr>
              <w:keepNext w:val="0"/>
              <w:keepLines w:val="0"/>
              <w:widowControl/>
              <w:suppressLineNumbers w:val="0"/>
              <w:jc w:val="both"/>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唾液酸化修饰在结肠炎及相关肿瘤发生发展中的生物学功能及靶向治疗策略研究</w:t>
            </w:r>
          </w:p>
        </w:tc>
      </w:tr>
      <w:tr w14:paraId="5DF8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37E23E48">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16</w:t>
            </w:r>
          </w:p>
        </w:tc>
        <w:tc>
          <w:tcPr>
            <w:tcW w:w="7598" w:type="dxa"/>
            <w:vAlign w:val="center"/>
          </w:tcPr>
          <w:p w14:paraId="1E01AC54">
            <w:pPr>
              <w:keepNext w:val="0"/>
              <w:keepLines w:val="0"/>
              <w:widowControl/>
              <w:suppressLineNumbers w:val="0"/>
              <w:jc w:val="both"/>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肿瘤表观遗传变化及对治疗的影响机制</w:t>
            </w:r>
          </w:p>
        </w:tc>
      </w:tr>
    </w:tbl>
    <w:p w14:paraId="7B98CA05">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cs="Times New Roman"/>
          <w:sz w:val="20"/>
          <w:szCs w:val="22"/>
        </w:rPr>
      </w:pPr>
    </w:p>
    <w:p w14:paraId="32F46163">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32"/>
          <w:szCs w:val="32"/>
          <w:lang w:val="en-US"/>
        </w:rPr>
      </w:pPr>
    </w:p>
    <w:p w14:paraId="35492950">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32"/>
          <w:szCs w:val="32"/>
          <w:lang w:val="en-US"/>
        </w:rPr>
      </w:pPr>
    </w:p>
    <w:p w14:paraId="722DC795">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32"/>
          <w:szCs w:val="32"/>
          <w:lang w:val="en-US"/>
        </w:rPr>
      </w:pPr>
    </w:p>
    <w:p w14:paraId="03BDB869">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32"/>
          <w:szCs w:val="32"/>
          <w:lang w:val="en-US"/>
        </w:rPr>
      </w:pPr>
    </w:p>
    <w:p w14:paraId="1FAE1D10">
      <w:pPr>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4"/>
          <w:szCs w:val="24"/>
          <w:lang w:val="en-US" w:eastAsia="zh-CN"/>
        </w:rPr>
        <w:t>2.新医学科研基金“精神医学+”专项指南建议</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7598"/>
      </w:tblGrid>
      <w:tr w14:paraId="7491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78A7035C">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序号</w:t>
            </w:r>
          </w:p>
        </w:tc>
        <w:tc>
          <w:tcPr>
            <w:tcW w:w="7598" w:type="dxa"/>
            <w:vAlign w:val="center"/>
          </w:tcPr>
          <w:p w14:paraId="29592332">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指南建议名称</w:t>
            </w:r>
          </w:p>
        </w:tc>
      </w:tr>
      <w:tr w14:paraId="0B6B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4DA874AF">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7598" w:type="dxa"/>
            <w:vAlign w:val="center"/>
          </w:tcPr>
          <w:p w14:paraId="4F62CAD0">
            <w:pPr>
              <w:keepNext w:val="0"/>
              <w:keepLines w:val="0"/>
              <w:widowControl/>
              <w:suppressLineNumbers w:val="0"/>
              <w:jc w:val="both"/>
              <w:textAlignment w:val="top"/>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“肝郁传脾”病机导向的抑郁症跨器官病理机制及中药干预研究</w:t>
            </w:r>
          </w:p>
        </w:tc>
      </w:tr>
      <w:tr w14:paraId="6890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62FDB544">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w:t>
            </w:r>
          </w:p>
        </w:tc>
        <w:tc>
          <w:tcPr>
            <w:tcW w:w="7598" w:type="dxa"/>
            <w:vAlign w:val="center"/>
          </w:tcPr>
          <w:p w14:paraId="6C3C08FE">
            <w:pPr>
              <w:keepNext w:val="0"/>
              <w:keepLines w:val="0"/>
              <w:widowControl/>
              <w:suppressLineNumbers w:val="0"/>
              <w:jc w:val="both"/>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钙蛋白酶-1（</w:t>
            </w:r>
            <w:r>
              <w:rPr>
                <w:rStyle w:val="5"/>
                <w:rFonts w:hint="default" w:ascii="Times New Roman" w:hAnsi="Times New Roman" w:eastAsia="仿宋_GB2312" w:cs="Times New Roman"/>
                <w:sz w:val="24"/>
                <w:szCs w:val="24"/>
                <w:lang w:val="en-US" w:eastAsia="zh-CN" w:bidi="ar"/>
              </w:rPr>
              <w:t>μ</w:t>
            </w:r>
            <w:r>
              <w:rPr>
                <w:rStyle w:val="6"/>
                <w:rFonts w:hint="default" w:ascii="Times New Roman" w:hAnsi="Times New Roman" w:eastAsia="仿宋_GB2312" w:cs="Times New Roman"/>
                <w:sz w:val="24"/>
                <w:szCs w:val="24"/>
                <w:lang w:val="en-US" w:eastAsia="zh-CN" w:bidi="ar"/>
              </w:rPr>
              <w:t>-calpain）通过剪切p300对血管性痴呆认知功能修复的机制研究</w:t>
            </w:r>
          </w:p>
        </w:tc>
      </w:tr>
      <w:tr w14:paraId="3254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00C7B182">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w:t>
            </w:r>
          </w:p>
        </w:tc>
        <w:tc>
          <w:tcPr>
            <w:tcW w:w="7598" w:type="dxa"/>
            <w:shd w:val="clear" w:color="auto" w:fill="auto"/>
            <w:vAlign w:val="center"/>
          </w:tcPr>
          <w:p w14:paraId="13542800">
            <w:pPr>
              <w:keepNext w:val="0"/>
              <w:keepLines w:val="0"/>
              <w:widowControl/>
              <w:suppressLineNumbers w:val="0"/>
              <w:jc w:val="both"/>
              <w:textAlignment w:val="top"/>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精神心理疾病中医药（药食同源物质）新疗法的研究</w:t>
            </w:r>
          </w:p>
        </w:tc>
      </w:tr>
      <w:tr w14:paraId="760A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60675283">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w:t>
            </w:r>
          </w:p>
        </w:tc>
        <w:tc>
          <w:tcPr>
            <w:tcW w:w="7598" w:type="dxa"/>
            <w:vAlign w:val="center"/>
          </w:tcPr>
          <w:p w14:paraId="52122D67">
            <w:pPr>
              <w:keepNext w:val="0"/>
              <w:keepLines w:val="0"/>
              <w:widowControl/>
              <w:suppressLineNumbers w:val="0"/>
              <w:jc w:val="both"/>
              <w:textAlignment w:val="top"/>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新型环境污染物与老年抑郁</w:t>
            </w:r>
          </w:p>
        </w:tc>
      </w:tr>
      <w:tr w14:paraId="605A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1853D91C">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5</w:t>
            </w:r>
          </w:p>
        </w:tc>
        <w:tc>
          <w:tcPr>
            <w:tcW w:w="7598" w:type="dxa"/>
            <w:vAlign w:val="center"/>
          </w:tcPr>
          <w:p w14:paraId="7A653ACF">
            <w:pPr>
              <w:keepNext w:val="0"/>
              <w:keepLines w:val="0"/>
              <w:widowControl/>
              <w:suppressLineNumbers w:val="0"/>
              <w:jc w:val="both"/>
              <w:textAlignment w:val="top"/>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COPD继发认知功能障碍的发病机制与流行病学指标研究</w:t>
            </w:r>
          </w:p>
        </w:tc>
      </w:tr>
      <w:tr w14:paraId="5FDD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1FD40788">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6</w:t>
            </w:r>
          </w:p>
        </w:tc>
        <w:tc>
          <w:tcPr>
            <w:tcW w:w="7598" w:type="dxa"/>
            <w:vAlign w:val="center"/>
          </w:tcPr>
          <w:p w14:paraId="49A4CB46">
            <w:pPr>
              <w:keepNext w:val="0"/>
              <w:keepLines w:val="0"/>
              <w:widowControl/>
              <w:suppressLineNumbers w:val="0"/>
              <w:jc w:val="both"/>
              <w:textAlignment w:val="top"/>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黄芩提取物通过微生物-肠-脑轴调节甲基苯丙胺成瘾记忆再巩固</w:t>
            </w:r>
          </w:p>
        </w:tc>
      </w:tr>
      <w:tr w14:paraId="7620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3471AED2">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7</w:t>
            </w:r>
          </w:p>
        </w:tc>
        <w:tc>
          <w:tcPr>
            <w:tcW w:w="7598" w:type="dxa"/>
            <w:vAlign w:val="center"/>
          </w:tcPr>
          <w:p w14:paraId="161535B1">
            <w:pPr>
              <w:keepNext w:val="0"/>
              <w:keepLines w:val="0"/>
              <w:widowControl/>
              <w:suppressLineNumbers w:val="0"/>
              <w:jc w:val="both"/>
              <w:textAlignment w:val="top"/>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应激颗粒在</w:t>
            </w:r>
            <w:r>
              <w:rPr>
                <w:rStyle w:val="7"/>
                <w:rFonts w:hint="default" w:ascii="Times New Roman" w:hAnsi="Times New Roman" w:eastAsia="仿宋_GB2312" w:cs="Times New Roman"/>
                <w:sz w:val="24"/>
                <w:szCs w:val="24"/>
                <w:lang w:val="en-US" w:eastAsia="zh-CN" w:bidi="ar"/>
              </w:rPr>
              <w:t>‌</w:t>
            </w:r>
            <w:r>
              <w:rPr>
                <w:rStyle w:val="6"/>
                <w:rFonts w:hint="default" w:ascii="Times New Roman" w:hAnsi="Times New Roman" w:eastAsia="仿宋_GB2312" w:cs="Times New Roman"/>
                <w:sz w:val="24"/>
                <w:szCs w:val="24"/>
                <w:lang w:val="en-US" w:eastAsia="zh-CN" w:bidi="ar"/>
              </w:rPr>
              <w:t>物质滥用致机体病变中的作用</w:t>
            </w:r>
          </w:p>
        </w:tc>
      </w:tr>
      <w:tr w14:paraId="3064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5957CEF3">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8</w:t>
            </w:r>
          </w:p>
        </w:tc>
        <w:tc>
          <w:tcPr>
            <w:tcW w:w="7598" w:type="dxa"/>
            <w:vAlign w:val="center"/>
          </w:tcPr>
          <w:p w14:paraId="232374C4">
            <w:pPr>
              <w:keepNext w:val="0"/>
              <w:keepLines w:val="0"/>
              <w:widowControl/>
              <w:suppressLineNumbers w:val="0"/>
              <w:jc w:val="both"/>
              <w:textAlignment w:val="top"/>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双相情感障碍基因与环境交互作用机制研究</w:t>
            </w:r>
          </w:p>
        </w:tc>
      </w:tr>
      <w:tr w14:paraId="634E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4FA16814">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9</w:t>
            </w:r>
          </w:p>
        </w:tc>
        <w:tc>
          <w:tcPr>
            <w:tcW w:w="7598" w:type="dxa"/>
            <w:vAlign w:val="center"/>
          </w:tcPr>
          <w:p w14:paraId="29BC86DB">
            <w:pPr>
              <w:keepNext w:val="0"/>
              <w:keepLines w:val="0"/>
              <w:widowControl/>
              <w:suppressLineNumbers w:val="0"/>
              <w:jc w:val="both"/>
              <w:textAlignment w:val="top"/>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基于肠道微生态实现抑郁症防治的益生菌资源挖掘</w:t>
            </w:r>
          </w:p>
        </w:tc>
      </w:tr>
      <w:tr w14:paraId="4002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15C7AFD6">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10</w:t>
            </w:r>
          </w:p>
        </w:tc>
        <w:tc>
          <w:tcPr>
            <w:tcW w:w="7598" w:type="dxa"/>
            <w:vAlign w:val="center"/>
          </w:tcPr>
          <w:p w14:paraId="64D6DD0A">
            <w:pPr>
              <w:keepNext w:val="0"/>
              <w:keepLines w:val="0"/>
              <w:widowControl/>
              <w:suppressLineNumbers w:val="0"/>
              <w:jc w:val="both"/>
              <w:textAlignment w:val="top"/>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睡眠障碍临床病因与分子机制的综合研究</w:t>
            </w:r>
          </w:p>
        </w:tc>
      </w:tr>
      <w:tr w14:paraId="73BB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37CAF99D">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11</w:t>
            </w:r>
          </w:p>
        </w:tc>
        <w:tc>
          <w:tcPr>
            <w:tcW w:w="7598" w:type="dxa"/>
            <w:vAlign w:val="center"/>
          </w:tcPr>
          <w:p w14:paraId="5A71655E">
            <w:pPr>
              <w:keepNext w:val="0"/>
              <w:keepLines w:val="0"/>
              <w:widowControl/>
              <w:suppressLineNumbers w:val="0"/>
              <w:jc w:val="both"/>
              <w:textAlignment w:val="top"/>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中药提取物通过调节铁稳态改善甲基苯丙胺相关焦虑抑郁的作用研究</w:t>
            </w:r>
          </w:p>
        </w:tc>
      </w:tr>
      <w:tr w14:paraId="2F70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6F81EC76">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12</w:t>
            </w:r>
          </w:p>
        </w:tc>
        <w:tc>
          <w:tcPr>
            <w:tcW w:w="7598" w:type="dxa"/>
            <w:vAlign w:val="center"/>
          </w:tcPr>
          <w:p w14:paraId="0BD86138">
            <w:pPr>
              <w:keepNext w:val="0"/>
              <w:keepLines w:val="0"/>
              <w:widowControl/>
              <w:suppressLineNumbers w:val="0"/>
              <w:jc w:val="both"/>
              <w:textAlignment w:val="top"/>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精神疾病风险基因致病机制及靶向治疗研究</w:t>
            </w:r>
          </w:p>
        </w:tc>
      </w:tr>
      <w:tr w14:paraId="6FC8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70E65FB5">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13</w:t>
            </w:r>
          </w:p>
        </w:tc>
        <w:tc>
          <w:tcPr>
            <w:tcW w:w="7598" w:type="dxa"/>
            <w:vAlign w:val="center"/>
          </w:tcPr>
          <w:p w14:paraId="40AC60E3">
            <w:pPr>
              <w:keepNext w:val="0"/>
              <w:keepLines w:val="0"/>
              <w:widowControl/>
              <w:suppressLineNumbers w:val="0"/>
              <w:jc w:val="both"/>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抑郁症靶向内源性大麻素2受体药物的研发</w:t>
            </w:r>
          </w:p>
        </w:tc>
      </w:tr>
    </w:tbl>
    <w:p w14:paraId="54A99F47">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lang w:val="en-US"/>
        </w:rPr>
      </w:pPr>
    </w:p>
    <w:p w14:paraId="1844D4D7">
      <w:pPr>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4"/>
          <w:szCs w:val="24"/>
          <w:lang w:val="en-US" w:eastAsia="zh-CN"/>
        </w:rPr>
        <w:t>3.“新医学联合基金”专项指南建议</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7598"/>
      </w:tblGrid>
      <w:tr w14:paraId="4723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4" w:type="dxa"/>
            <w:vAlign w:val="center"/>
          </w:tcPr>
          <w:p w14:paraId="1D5710B6">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序号</w:t>
            </w:r>
          </w:p>
        </w:tc>
        <w:tc>
          <w:tcPr>
            <w:tcW w:w="7598" w:type="dxa"/>
            <w:vAlign w:val="center"/>
          </w:tcPr>
          <w:p w14:paraId="6FFC5320">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指南建议名称</w:t>
            </w:r>
          </w:p>
        </w:tc>
      </w:tr>
      <w:tr w14:paraId="132B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55CBD2D3">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7598" w:type="dxa"/>
            <w:vAlign w:val="center"/>
          </w:tcPr>
          <w:p w14:paraId="0DD7C1D9">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精神分裂症遗传-表型关联机制多模态研究</w:t>
            </w:r>
          </w:p>
        </w:tc>
      </w:tr>
      <w:tr w14:paraId="0316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63A10E54">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w:t>
            </w:r>
          </w:p>
        </w:tc>
        <w:tc>
          <w:tcPr>
            <w:tcW w:w="7598" w:type="dxa"/>
            <w:vAlign w:val="center"/>
          </w:tcPr>
          <w:p w14:paraId="6D7102BA">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抗精神病药物疗效和不良反应的遗传分子机制研究</w:t>
            </w:r>
          </w:p>
        </w:tc>
      </w:tr>
    </w:tbl>
    <w:p w14:paraId="4B6E820F">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24"/>
          <w:szCs w:val="24"/>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44C43"/>
    <w:rsid w:val="05966716"/>
    <w:rsid w:val="17BB6EDC"/>
    <w:rsid w:val="26D13C70"/>
    <w:rsid w:val="2A242AFA"/>
    <w:rsid w:val="30DC3CE7"/>
    <w:rsid w:val="354B460C"/>
    <w:rsid w:val="38311062"/>
    <w:rsid w:val="3B043A1D"/>
    <w:rsid w:val="40B7508E"/>
    <w:rsid w:val="43B753A5"/>
    <w:rsid w:val="67DA328C"/>
    <w:rsid w:val="68EA0187"/>
    <w:rsid w:val="6AB278AE"/>
    <w:rsid w:val="7614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1"/>
    <w:basedOn w:val="4"/>
    <w:qFormat/>
    <w:uiPriority w:val="0"/>
    <w:rPr>
      <w:rFonts w:ascii="Calibri" w:hAnsi="Calibri" w:cs="Calibri"/>
      <w:color w:val="000000"/>
      <w:sz w:val="24"/>
      <w:szCs w:val="24"/>
      <w:u w:val="none"/>
    </w:rPr>
  </w:style>
  <w:style w:type="character" w:customStyle="1" w:styleId="6">
    <w:name w:val="font01"/>
    <w:basedOn w:val="4"/>
    <w:qFormat/>
    <w:uiPriority w:val="0"/>
    <w:rPr>
      <w:rFonts w:hint="eastAsia" w:ascii="宋体" w:hAnsi="宋体" w:eastAsia="宋体" w:cs="宋体"/>
      <w:color w:val="000000"/>
      <w:sz w:val="24"/>
      <w:szCs w:val="24"/>
      <w:u w:val="none"/>
    </w:rPr>
  </w:style>
  <w:style w:type="character" w:customStyle="1" w:styleId="7">
    <w:name w:val="font21"/>
    <w:basedOn w:val="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504</Words>
  <Characters>539</Characters>
  <Lines>0</Lines>
  <Paragraphs>0</Paragraphs>
  <TotalTime>14</TotalTime>
  <ScaleCrop>false</ScaleCrop>
  <LinksUpToDate>false</LinksUpToDate>
  <CharactersWithSpaces>539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2025-10-10T01:34:00Z</dcterms:created>
  <dc:creator>admin</dc:creator>
  <cp:lastModifiedBy>田壮</cp:lastModifiedBy>
  <dcterms:modified xsi:type="dcterms:W3CDTF">2025-10-17T01:09:13Z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eyJoZGlkIjoiMGMxMzNhMzhiODNiNjliZDdmNjQ0ZDEwZmFmNWMwOTIiLCJ1c2VySWQiOiIxNjk5NTkxMzkyIn0=</vt:lpwstr>
  </property>
  <property fmtid="{D5CDD505-2E9C-101B-9397-08002B2CF9AE}" pid="4" name="ICV">
    <vt:lpwstr>3565DE9C88A8456C800FAE8C3A9A2BBC_12</vt:lpwstr>
  </property>
</Properties>
</file>